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360" w:lineRule="auto"/>
        <w:rPr>
          <w:rFonts w:hint="eastAsia" w:ascii="仿宋" w:hAnsi="仿宋" w:eastAsia="仿宋" w:cs="仿宋_GB2312"/>
          <w:b/>
          <w:bCs/>
          <w:sz w:val="30"/>
          <w:szCs w:val="30"/>
          <w:lang w:val="zh-TW" w:eastAsia="zh-TW"/>
        </w:rPr>
      </w:pPr>
      <w:r>
        <w:rPr>
          <w:rFonts w:hint="eastAsia" w:ascii="仿宋" w:hAnsi="仿宋" w:eastAsia="仿宋" w:cs="仿宋_GB2312"/>
          <w:b/>
          <w:bCs/>
          <w:sz w:val="30"/>
          <w:szCs w:val="30"/>
          <w:lang w:val="zh-TW" w:eastAsia="zh-TW"/>
        </w:rPr>
        <w:t>附件</w:t>
      </w:r>
      <w:r>
        <w:rPr>
          <w:rFonts w:ascii="仿宋" w:hAnsi="仿宋" w:eastAsia="仿宋" w:cs="仿宋_GB2312"/>
          <w:b/>
          <w:bCs/>
          <w:sz w:val="30"/>
          <w:szCs w:val="30"/>
          <w:lang w:val="zh-TW" w:eastAsia="zh-TW"/>
        </w:rPr>
        <w:t>1</w:t>
      </w:r>
      <w:r>
        <w:rPr>
          <w:rFonts w:hint="eastAsia" w:ascii="仿宋" w:hAnsi="仿宋" w:eastAsia="仿宋" w:cs="仿宋_GB2312"/>
          <w:b/>
          <w:bCs/>
          <w:sz w:val="30"/>
          <w:szCs w:val="30"/>
          <w:lang w:val="zh-TW" w:eastAsia="zh-TW"/>
        </w:rPr>
        <w:t>：</w:t>
      </w:r>
    </w:p>
    <w:p>
      <w:pPr>
        <w:pStyle w:val="8"/>
        <w:spacing w:line="360" w:lineRule="auto"/>
        <w:jc w:val="center"/>
        <w:rPr>
          <w:rFonts w:hint="eastAsia" w:ascii="华文中宋" w:hAnsi="华文中宋" w:eastAsia="华文中宋"/>
          <w:b/>
          <w:spacing w:val="-6"/>
          <w:sz w:val="36"/>
          <w:szCs w:val="36"/>
        </w:rPr>
      </w:pPr>
      <w:r>
        <w:rPr>
          <w:rFonts w:ascii="华文中宋" w:hAnsi="华文中宋" w:eastAsia="华文中宋"/>
          <w:b/>
          <w:spacing w:val="-6"/>
          <w:sz w:val="36"/>
          <w:szCs w:val="36"/>
        </w:rPr>
        <w:t>202</w:t>
      </w:r>
      <w:r>
        <w:rPr>
          <w:rFonts w:hint="eastAsia" w:ascii="华文中宋" w:hAnsi="华文中宋" w:eastAsia="华文中宋"/>
          <w:b/>
          <w:spacing w:val="-6"/>
          <w:sz w:val="36"/>
          <w:szCs w:val="36"/>
          <w:lang w:val="en-US" w:eastAsia="zh-CN"/>
        </w:rPr>
        <w:t>4</w:t>
      </w:r>
      <w:r>
        <w:rPr>
          <w:rFonts w:hint="eastAsia" w:ascii="华文中宋" w:hAnsi="华文中宋" w:eastAsia="华文中宋"/>
          <w:b/>
          <w:spacing w:val="-6"/>
          <w:sz w:val="36"/>
          <w:szCs w:val="36"/>
        </w:rPr>
        <w:t>年“双百双进”社会实践重点方向</w:t>
      </w:r>
    </w:p>
    <w:p>
      <w:pPr>
        <w:pStyle w:val="8"/>
        <w:spacing w:line="600" w:lineRule="exact"/>
        <w:ind w:firstLine="602" w:firstLineChars="200"/>
        <w:rPr>
          <w:rFonts w:hint="eastAsia" w:ascii="仿宋" w:hAnsi="仿宋" w:eastAsia="仿宋" w:cs="仿宋_GB2312"/>
          <w:b/>
          <w:bCs/>
          <w:color w:val="000000" w:themeColor="text1"/>
          <w:sz w:val="30"/>
          <w:szCs w:val="30"/>
          <w:lang w:eastAsia="zh-CN"/>
          <w14:textFill>
            <w14:solidFill>
              <w14:schemeClr w14:val="tx1"/>
            </w14:solidFill>
          </w14:textFill>
        </w:rPr>
      </w:pPr>
      <w:r>
        <w:rPr>
          <w:rFonts w:hint="eastAsia" w:ascii="仿宋" w:hAnsi="仿宋" w:eastAsia="仿宋" w:cs="仿宋_GB2312"/>
          <w:b/>
          <w:bCs/>
          <w:color w:val="000000" w:themeColor="text1"/>
          <w:sz w:val="30"/>
          <w:szCs w:val="30"/>
          <w14:textFill>
            <w14:solidFill>
              <w14:schemeClr w14:val="tx1"/>
            </w14:solidFill>
          </w14:textFill>
        </w:rPr>
        <w:t>一、全国社会实践重点方向</w:t>
      </w:r>
      <w:r>
        <w:rPr>
          <w:rFonts w:hint="eastAsia" w:ascii="仿宋" w:hAnsi="仿宋" w:eastAsia="仿宋" w:cs="仿宋_GB2312"/>
          <w:b/>
          <w:bCs/>
          <w:color w:val="C00000"/>
          <w:sz w:val="30"/>
          <w:szCs w:val="30"/>
          <w:lang w:eastAsia="zh-CN"/>
        </w:rPr>
        <w:t>（</w:t>
      </w:r>
      <w:r>
        <w:rPr>
          <w:rFonts w:hint="eastAsia" w:ascii="仿宋" w:hAnsi="仿宋" w:eastAsia="仿宋" w:cs="仿宋_GB2312"/>
          <w:b/>
          <w:bCs/>
          <w:color w:val="C00000"/>
          <w:sz w:val="30"/>
          <w:szCs w:val="30"/>
          <w:lang w:val="en-US" w:eastAsia="zh-CN"/>
        </w:rPr>
        <w:t>以下为2023年重点方向，供参考，2024年待通知</w:t>
      </w:r>
      <w:r>
        <w:rPr>
          <w:rFonts w:hint="eastAsia" w:ascii="仿宋" w:hAnsi="仿宋" w:eastAsia="仿宋" w:cs="仿宋_GB2312"/>
          <w:b/>
          <w:bCs/>
          <w:color w:val="C00000"/>
          <w:sz w:val="30"/>
          <w:szCs w:val="30"/>
          <w:lang w:eastAsia="zh-CN"/>
        </w:rPr>
        <w:t>）</w:t>
      </w:r>
    </w:p>
    <w:p>
      <w:pPr>
        <w:pStyle w:val="8"/>
        <w:spacing w:line="600" w:lineRule="exact"/>
        <w:ind w:firstLine="602" w:firstLineChars="200"/>
        <w:rPr>
          <w:rFonts w:hint="eastAsia"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b/>
          <w:bCs/>
          <w:color w:val="000000" w:themeColor="text1"/>
          <w:sz w:val="30"/>
          <w:szCs w:val="30"/>
          <w14:textFill>
            <w14:solidFill>
              <w14:schemeClr w14:val="tx1"/>
            </w14:solidFill>
          </w14:textFill>
        </w:rPr>
        <w:t>1.理论普及宣讲团。</w:t>
      </w:r>
      <w:r>
        <w:rPr>
          <w:rFonts w:hint="eastAsia" w:ascii="仿宋" w:hAnsi="仿宋" w:eastAsia="仿宋" w:cs="仿宋_GB2312"/>
          <w:color w:val="000000" w:themeColor="text1"/>
          <w:sz w:val="30"/>
          <w:szCs w:val="30"/>
          <w14:textFill>
            <w14:solidFill>
              <w14:schemeClr w14:val="tx1"/>
            </w14:solidFill>
          </w14:textFill>
        </w:rPr>
        <w:t>认真学习宣传贯彻党的二十大精神，组织学生走进基层、边远地区、社区、农村、军营等，精心设计开展有内涵、有人气的宣传教育活动，引领广大青年学生更加深刻领悟“两个确立”的决定性意义，更加信心满怀地紧跟党的核心、人民领袖奋进新征程、建功新时代。结合学习贯彻习近平新时代中国特色社会主义思想主题教育，把理论学习、调查研究贯通起来，坚持读原著学原文悟原理，坚持多思多想、学深悟透，全面学习领会习近平新时代中国特色社会主义思想的科学体系、精髓要义、实践要求，做到整体把握、融会贯通。</w:t>
      </w:r>
    </w:p>
    <w:p>
      <w:pPr>
        <w:pStyle w:val="8"/>
        <w:spacing w:line="600" w:lineRule="exact"/>
        <w:ind w:firstLine="602" w:firstLineChars="200"/>
        <w:rPr>
          <w:rFonts w:hint="eastAsia"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b/>
          <w:bCs/>
          <w:color w:val="000000" w:themeColor="text1"/>
          <w:sz w:val="30"/>
          <w:szCs w:val="30"/>
          <w14:textFill>
            <w14:solidFill>
              <w14:schemeClr w14:val="tx1"/>
            </w14:solidFill>
          </w14:textFill>
        </w:rPr>
        <w:t>2.乡村振兴促进团。</w:t>
      </w:r>
      <w:r>
        <w:rPr>
          <w:rFonts w:hint="eastAsia" w:ascii="仿宋" w:hAnsi="仿宋" w:eastAsia="仿宋" w:cs="仿宋_GB2312"/>
          <w:color w:val="000000" w:themeColor="text1"/>
          <w:sz w:val="30"/>
          <w:szCs w:val="30"/>
          <w14:textFill>
            <w14:solidFill>
              <w14:schemeClr w14:val="tx1"/>
            </w14:solidFill>
          </w14:textFill>
        </w:rPr>
        <w:t>深入贯彻落实习近平总书记给中国农业大学科技小院学生的重要回信精神以及总书记关于“三农”工作的重要论述，引领学生将课堂学习与乡村实践紧密结合，发扬实事求是精神，掌握密切联系群众方法，脚踏实地，自找苦吃，为加快推进农业农村现代化、全面建设社会主义现代化国家贡献青春力量。要深入乡村一线，特别是160个国家乡村振兴重点帮扶县，广泛实施教育关爱、爱心医疗、科技支农、基层社会治理、生态文明建设等领域的重点项目，帮助发展乡村产业，改善基础设施，美化乡村环境，提升乡风文明，促进乡村公共服务，讲好乡村振兴故事。</w:t>
      </w:r>
    </w:p>
    <w:p>
      <w:pPr>
        <w:pStyle w:val="8"/>
        <w:spacing w:line="600" w:lineRule="exact"/>
        <w:ind w:firstLine="602" w:firstLineChars="200"/>
        <w:rPr>
          <w:rFonts w:hint="eastAsia"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b/>
          <w:bCs/>
          <w:color w:val="000000" w:themeColor="text1"/>
          <w:sz w:val="30"/>
          <w:szCs w:val="30"/>
          <w14:textFill>
            <w14:solidFill>
              <w14:schemeClr w14:val="tx1"/>
            </w14:solidFill>
          </w14:textFill>
        </w:rPr>
        <w:t>3.发展成就观察团。</w:t>
      </w:r>
      <w:r>
        <w:rPr>
          <w:rFonts w:hint="eastAsia" w:ascii="仿宋" w:hAnsi="仿宋" w:eastAsia="仿宋" w:cs="仿宋_GB2312"/>
          <w:color w:val="000000" w:themeColor="text1"/>
          <w:sz w:val="30"/>
          <w:szCs w:val="30"/>
          <w14:textFill>
            <w14:solidFill>
              <w14:schemeClr w14:val="tx1"/>
            </w14:solidFill>
          </w14:textFill>
        </w:rPr>
        <w:t>聚焦党的十八大以来党和国家取得的历史性成就、发生的历史性变革，以中国大地为课堂，以脱贫攻坚重大历史性成就、全面建成小康社会决定性成就等为现实教材，组织学生在国情考察、社会观察、调查研究、学习体验、志愿服务中了解国情社情民情，感受全过程人民民主的生动实践，引导学生深刻领悟党的领导、领袖领航、制度优势、人民力量的关键作用，坚定紧跟党奋进新征程的信心决心。</w:t>
      </w:r>
    </w:p>
    <w:p>
      <w:pPr>
        <w:pStyle w:val="8"/>
        <w:spacing w:line="600" w:lineRule="exact"/>
        <w:ind w:firstLine="602" w:firstLineChars="200"/>
        <w:rPr>
          <w:rFonts w:hint="eastAsia"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b/>
          <w:bCs/>
          <w:color w:val="000000" w:themeColor="text1"/>
          <w:sz w:val="30"/>
          <w:szCs w:val="30"/>
          <w14:textFill>
            <w14:solidFill>
              <w14:schemeClr w14:val="tx1"/>
            </w14:solidFill>
          </w14:textFill>
        </w:rPr>
        <w:t>4.党史学习教育团。</w:t>
      </w:r>
      <w:r>
        <w:rPr>
          <w:rFonts w:hint="eastAsia" w:ascii="仿宋" w:hAnsi="仿宋" w:eastAsia="仿宋" w:cs="仿宋_GB2312"/>
          <w:color w:val="000000" w:themeColor="text1"/>
          <w:sz w:val="30"/>
          <w:szCs w:val="30"/>
          <w14:textFill>
            <w14:solidFill>
              <w14:schemeClr w14:val="tx1"/>
            </w14:solidFill>
          </w14:textFill>
        </w:rPr>
        <w:t>持续深入学习贯彻习近平总书记关于党史学习教育的重要论述，推进党史学习教育常态化长效化。持续深化建党百年激发的爱党爱国爱社会主义热情，继续组织学生广泛学习宣传党的百年奋斗重大成就和历史经验，依托各地红色资源，开展重走红色足迹、追溯红色记忆、访谈红色人物、挖掘红色故事、体悟红色文化等多种形式的活动，以重要时间节点为契机深化仪式教育，引导学生弘扬伟大建党精神，让红色基因、革命薪火代代传承。</w:t>
      </w:r>
    </w:p>
    <w:p>
      <w:pPr>
        <w:pStyle w:val="8"/>
        <w:spacing w:line="600" w:lineRule="exact"/>
        <w:ind w:firstLine="602" w:firstLineChars="200"/>
        <w:rPr>
          <w:rFonts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b/>
          <w:bCs/>
          <w:color w:val="000000" w:themeColor="text1"/>
          <w:sz w:val="30"/>
          <w:szCs w:val="30"/>
          <w14:textFill>
            <w14:solidFill>
              <w14:schemeClr w14:val="tx1"/>
            </w14:solidFill>
          </w14:textFill>
        </w:rPr>
        <w:t>5.民族团结实践团。</w:t>
      </w:r>
      <w:r>
        <w:rPr>
          <w:rFonts w:hint="eastAsia" w:ascii="仿宋" w:hAnsi="仿宋" w:eastAsia="仿宋" w:cs="仿宋_GB2312"/>
          <w:color w:val="000000" w:themeColor="text1"/>
          <w:sz w:val="30"/>
          <w:szCs w:val="30"/>
          <w14:textFill>
            <w14:solidFill>
              <w14:schemeClr w14:val="tx1"/>
            </w14:solidFill>
          </w14:textFill>
        </w:rPr>
        <w:t>贯彻落实党中央关于西藏、新疆工作的重大决策部署和中央民族工作会议精神，组织内地西藏籍、新疆籍学生开展“民族团结我践行”社会实践活动，组织内地学生到西藏、新疆等民族地区开展国情考察、地球第三极保护行动等社会实践活动，帮助和引导学生通过实地调研和观察，深入了解民族团结进步呈现的新气象，充分感知民族地区发生的新变化，当好民族团结进步的宣传者、示范者和践行者，不断铸牢中华民族共同体意识。</w:t>
      </w:r>
    </w:p>
    <w:p>
      <w:pPr>
        <w:pStyle w:val="8"/>
        <w:spacing w:line="600" w:lineRule="exact"/>
        <w:ind w:firstLine="602" w:firstLineChars="200"/>
        <w:rPr>
          <w:rFonts w:ascii="仿宋" w:hAnsi="仿宋" w:eastAsia="仿宋" w:cs="仿宋_GB2312"/>
          <w:b/>
          <w:bCs/>
          <w:color w:val="000000" w:themeColor="text1"/>
          <w:sz w:val="30"/>
          <w:szCs w:val="30"/>
          <w14:textFill>
            <w14:solidFill>
              <w14:schemeClr w14:val="tx1"/>
            </w14:solidFill>
          </w14:textFill>
        </w:rPr>
      </w:pPr>
      <w:r>
        <w:rPr>
          <w:rFonts w:hint="eastAsia" w:ascii="仿宋" w:hAnsi="仿宋" w:eastAsia="仿宋" w:cs="仿宋_GB2312"/>
          <w:b/>
          <w:bCs/>
          <w:color w:val="000000" w:themeColor="text1"/>
          <w:sz w:val="30"/>
          <w:szCs w:val="30"/>
          <w14:textFill>
            <w14:solidFill>
              <w14:schemeClr w14:val="tx1"/>
            </w14:solidFill>
          </w14:textFill>
        </w:rPr>
        <w:t>二、浙江省重点方向</w:t>
      </w:r>
      <w:r>
        <w:rPr>
          <w:rFonts w:hint="eastAsia" w:ascii="仿宋" w:hAnsi="仿宋" w:eastAsia="仿宋" w:cs="仿宋_GB2312"/>
          <w:b/>
          <w:bCs/>
          <w:color w:val="C00000"/>
          <w:sz w:val="30"/>
          <w:szCs w:val="30"/>
          <w:lang w:eastAsia="zh-CN"/>
        </w:rPr>
        <w:t>（</w:t>
      </w:r>
      <w:r>
        <w:rPr>
          <w:rFonts w:hint="eastAsia" w:ascii="仿宋" w:hAnsi="仿宋" w:eastAsia="仿宋" w:cs="仿宋_GB2312"/>
          <w:b/>
          <w:bCs/>
          <w:color w:val="C00000"/>
          <w:sz w:val="30"/>
          <w:szCs w:val="30"/>
          <w:lang w:val="en-US" w:eastAsia="zh-CN"/>
        </w:rPr>
        <w:t>以下为2023年重点方向，供参考，2024年待通知</w:t>
      </w:r>
      <w:r>
        <w:rPr>
          <w:rFonts w:hint="eastAsia" w:ascii="仿宋" w:hAnsi="仿宋" w:eastAsia="仿宋" w:cs="仿宋_GB2312"/>
          <w:b/>
          <w:bCs/>
          <w:color w:val="C00000"/>
          <w:sz w:val="30"/>
          <w:szCs w:val="30"/>
          <w:lang w:eastAsia="zh-CN"/>
        </w:rPr>
        <w:t>）</w:t>
      </w:r>
    </w:p>
    <w:p>
      <w:pPr>
        <w:pStyle w:val="8"/>
        <w:spacing w:line="600" w:lineRule="exact"/>
        <w:ind w:firstLine="602" w:firstLineChars="200"/>
        <w:rPr>
          <w:rFonts w:hint="eastAsia" w:ascii="仿宋" w:hAnsi="仿宋" w:eastAsia="仿宋" w:cs="仿宋_GB2312"/>
          <w:sz w:val="30"/>
          <w:szCs w:val="30"/>
        </w:rPr>
      </w:pPr>
      <w:r>
        <w:rPr>
          <w:rFonts w:hint="eastAsia" w:ascii="仿宋" w:hAnsi="仿宋" w:eastAsia="仿宋" w:cs="仿宋_GB2312"/>
          <w:b/>
          <w:bCs/>
          <w:sz w:val="30"/>
          <w:szCs w:val="30"/>
        </w:rPr>
        <w:t>1.理论普及宣讲团。</w:t>
      </w:r>
      <w:r>
        <w:rPr>
          <w:rFonts w:hint="eastAsia" w:ascii="仿宋" w:hAnsi="仿宋" w:eastAsia="仿宋" w:cs="仿宋_GB2312"/>
          <w:sz w:val="30"/>
          <w:szCs w:val="30"/>
        </w:rPr>
        <w:t>围绕深入开展学习贯彻习近平新时代中国特色社会主义思想主题教育，组织引导青年学生深入基层开展“习近平总书记与大学生在一起”学习分享活动，以习近平总书记考察高校重要讲话、对青年学生寄语、给青年学生回信精神、《习近平与大学生朋友们》等为主要内容，从知、情、意、行四个层面将理论学习与社会实践贯通起来，将深刻性和生动性统一起来，通过面对面、小范围、互动式宣讲，讲透创新理论、讲好发展成就、讲清形势任务、讲明发展前景，进一步深化对习近平新时代中国特色社会主义思想的学思践悟。紧紧围绕学习宣传贯彻党的二十大精神，精心设计开展有内涵、有人气的宣传教育活动。</w:t>
      </w:r>
    </w:p>
    <w:p>
      <w:pPr>
        <w:pStyle w:val="8"/>
        <w:spacing w:line="600" w:lineRule="exact"/>
        <w:ind w:firstLine="602" w:firstLineChars="200"/>
        <w:rPr>
          <w:rFonts w:hint="eastAsia" w:ascii="仿宋" w:hAnsi="仿宋" w:eastAsia="仿宋" w:cs="仿宋_GB2312"/>
          <w:sz w:val="30"/>
          <w:szCs w:val="30"/>
        </w:rPr>
      </w:pPr>
      <w:r>
        <w:rPr>
          <w:rFonts w:hint="eastAsia" w:ascii="仿宋" w:hAnsi="仿宋" w:eastAsia="仿宋" w:cs="仿宋_GB2312"/>
          <w:b/>
          <w:bCs/>
          <w:sz w:val="30"/>
          <w:szCs w:val="30"/>
        </w:rPr>
        <w:t>2.党史学习教育团。</w:t>
      </w:r>
      <w:r>
        <w:rPr>
          <w:rFonts w:hint="eastAsia" w:ascii="仿宋" w:hAnsi="仿宋" w:eastAsia="仿宋" w:cs="仿宋_GB2312"/>
          <w:sz w:val="30"/>
          <w:szCs w:val="30"/>
        </w:rPr>
        <w:t>学习宣传党的百年奋斗重大成就和历史经验，依托各地红色资源，开展重走红色足迹、追溯红色记忆、访谈红色人物、挖掘红色故事、体悟红色文化等多种形式活动，持之以恒推进党史学习教育常态化、长效化，引导青年学生学史明理、学史增信、学史崇德、学史力行。开展廉洁教育，深入推进“清廉文化”进校园、进乡村、进社区，展现“浙里青廉”崇廉尚廉的良好氛围。</w:t>
      </w:r>
    </w:p>
    <w:p>
      <w:pPr>
        <w:pStyle w:val="8"/>
        <w:spacing w:line="600" w:lineRule="exact"/>
        <w:ind w:firstLine="602" w:firstLineChars="200"/>
        <w:rPr>
          <w:rFonts w:ascii="仿宋" w:hAnsi="仿宋" w:eastAsia="仿宋" w:cs="仿宋_GB2312"/>
          <w:sz w:val="30"/>
          <w:szCs w:val="30"/>
        </w:rPr>
      </w:pPr>
      <w:r>
        <w:rPr>
          <w:rFonts w:hint="eastAsia" w:ascii="仿宋" w:hAnsi="仿宋" w:eastAsia="仿宋" w:cs="仿宋_GB2312"/>
          <w:b/>
          <w:bCs/>
          <w:sz w:val="30"/>
          <w:szCs w:val="30"/>
        </w:rPr>
        <w:t>3.乡村振兴促进团。</w:t>
      </w:r>
      <w:r>
        <w:rPr>
          <w:rFonts w:hint="eastAsia" w:ascii="仿宋" w:hAnsi="仿宋" w:eastAsia="仿宋" w:cs="仿宋_GB2312"/>
          <w:sz w:val="30"/>
          <w:szCs w:val="30"/>
        </w:rPr>
        <w:t>深入贯彻落实习近平总书记关于“三农”工作的重要论述，帮助和引导青年学生紧紧围绕“国之大者”深刻领会感悟为什么要推进乡村振兴、如何推进乡村振兴等系列重大理论和实践问题。发动青年学生了解认知乡村，特别是省内山区26县的乡村发展状况，积极助力巩固拓展脱贫攻坚成果同乡村振兴有效衔接，广泛实施教育关爱、爱心医疗、科技支农、基层社会治理等领域的重点项目，帮助发展乡村产业，改善基础设施，美化乡村环境，提升乡风文明，促进乡村公共服务，讲好乡村振兴故事。</w:t>
      </w:r>
    </w:p>
    <w:p>
      <w:pPr>
        <w:pStyle w:val="8"/>
        <w:spacing w:line="600" w:lineRule="exact"/>
        <w:ind w:firstLine="602" w:firstLineChars="200"/>
        <w:rPr>
          <w:rFonts w:hint="eastAsia" w:ascii="仿宋" w:hAnsi="仿宋" w:eastAsia="仿宋" w:cs="仿宋_GB2312"/>
          <w:sz w:val="30"/>
          <w:szCs w:val="30"/>
        </w:rPr>
      </w:pPr>
      <w:r>
        <w:rPr>
          <w:rFonts w:hint="eastAsia" w:ascii="仿宋" w:hAnsi="仿宋" w:eastAsia="仿宋" w:cs="仿宋_GB2312"/>
          <w:b/>
          <w:bCs/>
          <w:sz w:val="30"/>
          <w:szCs w:val="30"/>
        </w:rPr>
        <w:t>4.发展成就观察团。</w:t>
      </w:r>
      <w:r>
        <w:rPr>
          <w:rFonts w:hint="eastAsia" w:ascii="仿宋" w:hAnsi="仿宋" w:eastAsia="仿宋" w:cs="仿宋_GB2312"/>
          <w:sz w:val="30"/>
          <w:szCs w:val="30"/>
        </w:rPr>
        <w:t>全面贯彻落实党的二十大精神，全方位展现我省忠实践行“八八战略”20年以来在各领域取得的突出成就，展示我省在奋力打造“重要窗口”、高质量发展建设共同富裕示范区的进程中取得的丰富成果，展现党的十八大以来的历史性成就、历史性变革。以中国大地为课堂，组织青年学生在社会观察、国情考察、基层治理参与、特色产业调研、学习体验中了解国情社情民情，感受祖国发展变化，感受全过程人民民主的生动实践，引导青年学生形成正确认识，坚定理想信念，站稳人民立场，投身强国伟业。</w:t>
      </w:r>
    </w:p>
    <w:p>
      <w:pPr>
        <w:pStyle w:val="8"/>
        <w:spacing w:line="600" w:lineRule="exact"/>
        <w:ind w:firstLine="602" w:firstLineChars="200"/>
        <w:rPr>
          <w:rFonts w:hint="eastAsia" w:ascii="仿宋" w:hAnsi="仿宋" w:eastAsia="仿宋" w:cs="仿宋_GB2312"/>
          <w:sz w:val="30"/>
          <w:szCs w:val="30"/>
        </w:rPr>
      </w:pPr>
      <w:r>
        <w:rPr>
          <w:rFonts w:hint="eastAsia" w:ascii="仿宋" w:hAnsi="仿宋" w:eastAsia="仿宋" w:cs="仿宋_GB2312"/>
          <w:b/>
          <w:bCs/>
          <w:sz w:val="30"/>
          <w:szCs w:val="30"/>
        </w:rPr>
        <w:t>5.民族团结实践团。</w:t>
      </w:r>
      <w:r>
        <w:rPr>
          <w:rFonts w:hint="eastAsia" w:ascii="仿宋" w:hAnsi="仿宋" w:eastAsia="仿宋" w:cs="仿宋_GB2312"/>
          <w:sz w:val="30"/>
          <w:szCs w:val="30"/>
        </w:rPr>
        <w:t>贯彻落实中央民族工作会议、中央第七次西藏工作座谈会和第三次中央新疆工作座谈会精神，组织内地新疆籍、西藏籍大学生开展“民族团结我践行”社会实践活动，组织内地大学生到新疆、西藏等地以及省内少数民族县镇、集中居住地等开展国情考察、地球第三极保护行动等社会实践活动，帮助和引导青年学生通过实地调研和观察，深入了解民族团结现状，充分感知民族地区发生的翻天覆地的变化，当好民族团结的宣传者、示范者和践行者，不断铸牢中华民族共同体意识。</w:t>
      </w:r>
    </w:p>
    <w:p>
      <w:pPr>
        <w:pStyle w:val="8"/>
        <w:spacing w:line="600" w:lineRule="exact"/>
        <w:ind w:firstLine="602" w:firstLineChars="200"/>
        <w:rPr>
          <w:rFonts w:hint="eastAsia" w:ascii="仿宋" w:hAnsi="仿宋" w:eastAsia="仿宋" w:cs="仿宋_GB2312"/>
          <w:sz w:val="30"/>
          <w:szCs w:val="30"/>
        </w:rPr>
      </w:pPr>
      <w:r>
        <w:rPr>
          <w:rFonts w:hint="eastAsia" w:ascii="仿宋" w:hAnsi="仿宋" w:eastAsia="仿宋" w:cs="仿宋_GB2312"/>
          <w:b/>
          <w:bCs/>
          <w:sz w:val="30"/>
          <w:szCs w:val="30"/>
        </w:rPr>
        <w:t>6.共同富裕实践团。</w:t>
      </w:r>
      <w:r>
        <w:rPr>
          <w:rFonts w:hint="eastAsia" w:ascii="仿宋" w:hAnsi="仿宋" w:eastAsia="仿宋" w:cs="仿宋_GB2312"/>
          <w:sz w:val="30"/>
          <w:szCs w:val="30"/>
        </w:rPr>
        <w:t>对标党中央、国务院支持浙江高质量发展建设共同富裕示范区的具体要求，组织大学生发挥专业学科教育优势，深入开展高质量发展高品质生活先行区、城乡区域协调发展引领区、收入分配制度改革试验区、文明和谐美丽家园展示区建设实践调研活动。</w:t>
      </w:r>
    </w:p>
    <w:p>
      <w:pPr>
        <w:pStyle w:val="8"/>
        <w:spacing w:line="600" w:lineRule="exact"/>
        <w:ind w:firstLine="602" w:firstLineChars="200"/>
        <w:rPr>
          <w:rFonts w:hint="eastAsia" w:ascii="仿宋" w:hAnsi="仿宋" w:eastAsia="仿宋" w:cs="仿宋_GB2312"/>
          <w:sz w:val="30"/>
          <w:szCs w:val="30"/>
        </w:rPr>
      </w:pPr>
      <w:r>
        <w:rPr>
          <w:rFonts w:hint="eastAsia" w:ascii="仿宋" w:hAnsi="仿宋" w:eastAsia="仿宋" w:cs="仿宋_GB2312"/>
          <w:b/>
          <w:bCs/>
          <w:sz w:val="30"/>
          <w:szCs w:val="30"/>
        </w:rPr>
        <w:t>7.生态文明实践团。</w:t>
      </w:r>
      <w:r>
        <w:rPr>
          <w:rFonts w:hint="eastAsia" w:ascii="仿宋" w:hAnsi="仿宋" w:eastAsia="仿宋" w:cs="仿宋_GB2312"/>
          <w:sz w:val="30"/>
          <w:szCs w:val="30"/>
        </w:rPr>
        <w:t>深入践行“绿水青山就是金山银山”理念，充分把握浙江生态文明建设的先进经验，鼓励大学生深入基层助力生态文明示范创建行动，广泛传播新时代生态文明思想及实践成果，在实践中引导大众牢固树立生态文明价值观念和行为准则，推动构建生态环境治理全民行动体系。</w:t>
      </w:r>
    </w:p>
    <w:p>
      <w:pPr>
        <w:pStyle w:val="8"/>
        <w:spacing w:line="600" w:lineRule="exact"/>
        <w:ind w:firstLine="602" w:firstLineChars="200"/>
        <w:rPr>
          <w:rFonts w:hint="eastAsia" w:ascii="仿宋" w:hAnsi="仿宋" w:eastAsia="仿宋" w:cs="仿宋_GB2312"/>
          <w:sz w:val="30"/>
          <w:szCs w:val="30"/>
        </w:rPr>
      </w:pPr>
      <w:r>
        <w:rPr>
          <w:rFonts w:hint="eastAsia" w:ascii="仿宋" w:hAnsi="仿宋" w:eastAsia="仿宋" w:cs="仿宋_GB2312"/>
          <w:b/>
          <w:bCs/>
          <w:sz w:val="30"/>
          <w:szCs w:val="30"/>
        </w:rPr>
        <w:t>8.文明新风实践团。</w:t>
      </w:r>
      <w:r>
        <w:rPr>
          <w:rFonts w:hint="eastAsia" w:ascii="仿宋" w:hAnsi="仿宋" w:eastAsia="仿宋" w:cs="仿宋_GB2312"/>
          <w:sz w:val="30"/>
          <w:szCs w:val="30"/>
        </w:rPr>
        <w:t>围绕进一步加强农村基层宣传思想文化工作和精神文明建设，引导大学生走进基层、走进群众，积极投身新时代文明实践中心建设，开展课后服务、组织社会调查、开展文体活动、促进基层团建、培育践行主流价值、持续深入移风易俗等实践活动。</w:t>
      </w:r>
    </w:p>
    <w:p>
      <w:pPr>
        <w:pStyle w:val="8"/>
        <w:spacing w:line="600" w:lineRule="exact"/>
        <w:ind w:firstLine="602" w:firstLineChars="200"/>
        <w:rPr>
          <w:rFonts w:hint="eastAsia" w:ascii="仿宋" w:hAnsi="仿宋" w:eastAsia="仿宋" w:cs="仿宋_GB2312"/>
          <w:sz w:val="30"/>
          <w:szCs w:val="30"/>
        </w:rPr>
      </w:pPr>
      <w:r>
        <w:rPr>
          <w:rFonts w:hint="eastAsia" w:ascii="仿宋" w:hAnsi="仿宋" w:eastAsia="仿宋" w:cs="仿宋_GB2312"/>
          <w:b/>
          <w:bCs/>
          <w:sz w:val="30"/>
          <w:szCs w:val="30"/>
        </w:rPr>
        <w:t>9.美丽浙江实践团。</w:t>
      </w:r>
      <w:r>
        <w:rPr>
          <w:rFonts w:hint="eastAsia" w:ascii="仿宋" w:hAnsi="仿宋" w:eastAsia="仿宋" w:cs="仿宋_GB2312"/>
          <w:sz w:val="30"/>
          <w:szCs w:val="30"/>
        </w:rPr>
        <w:t>聚焦美丽浙江建设和打好污染防治攻坚战，鼓励大学生积极参与长江经济带共抓大保护、“千万工程”等重点工作，深入乡村、社区开展环境治理、科普宣讲、社会调研、发展献策等活动，讲好美丽浙江故事。</w:t>
      </w:r>
    </w:p>
    <w:p>
      <w:pPr>
        <w:pStyle w:val="8"/>
        <w:spacing w:line="360" w:lineRule="auto"/>
        <w:ind w:firstLine="602" w:firstLineChars="200"/>
        <w:rPr>
          <w:rFonts w:hint="eastAsia" w:ascii="仿宋" w:hAnsi="仿宋" w:eastAsia="仿宋" w:cs="仿宋_GB2312"/>
          <w:b/>
          <w:bCs/>
          <w:sz w:val="30"/>
          <w:szCs w:val="30"/>
          <w:lang w:val="en-US" w:eastAsia="zh-CN"/>
        </w:rPr>
      </w:pPr>
      <w:r>
        <w:rPr>
          <w:rFonts w:hint="eastAsia" w:ascii="仿宋" w:hAnsi="仿宋" w:eastAsia="仿宋" w:cs="仿宋_GB2312"/>
          <w:b/>
          <w:bCs/>
          <w:sz w:val="30"/>
          <w:szCs w:val="30"/>
        </w:rPr>
        <w:t>10.反邪教宣传实践团。</w:t>
      </w:r>
      <w:r>
        <w:rPr>
          <w:rFonts w:hint="eastAsia" w:ascii="仿宋" w:hAnsi="仿宋" w:eastAsia="仿宋" w:cs="仿宋_GB2312"/>
          <w:sz w:val="30"/>
          <w:szCs w:val="30"/>
        </w:rPr>
        <w:t>结合实践地实际情况，以反邪宣讲、科普宣传、法治普及、社区服务、调查研究等形式多样活动，向基层群众宣传党和政府关于防范和处理邪教问题的政策法规，提高基层群众识邪、防邪、拒邪的基础素养。</w:t>
      </w:r>
    </w:p>
    <w:p>
      <w:pPr>
        <w:pStyle w:val="8"/>
        <w:spacing w:line="360" w:lineRule="auto"/>
        <w:ind w:firstLine="602" w:firstLineChars="200"/>
        <w:jc w:val="both"/>
        <w:rPr>
          <w:rFonts w:ascii="黑体" w:hAnsi="黑体" w:eastAsia="黑体" w:cs="黑体"/>
          <w:b/>
          <w:bCs/>
          <w:sz w:val="30"/>
          <w:szCs w:val="30"/>
        </w:rPr>
      </w:pPr>
      <w:bookmarkStart w:id="0" w:name="_GoBack"/>
      <w:bookmarkEnd w:id="0"/>
      <w:r>
        <w:rPr>
          <w:rFonts w:hint="eastAsia" w:ascii="仿宋" w:hAnsi="仿宋" w:eastAsia="仿宋" w:cs="仿宋_GB2312"/>
          <w:b/>
          <w:bCs/>
          <w:color w:val="000000" w:themeColor="text1"/>
          <w:sz w:val="30"/>
          <w:szCs w:val="30"/>
          <w:lang w:val="en-US" w:eastAsia="zh-CN"/>
          <w14:textFill>
            <w14:solidFill>
              <w14:schemeClr w14:val="tx1"/>
            </w14:solidFill>
          </w14:textFill>
        </w:rPr>
        <w:t>三、</w:t>
      </w:r>
      <w:r>
        <w:rPr>
          <w:rFonts w:hint="eastAsia" w:ascii="仿宋" w:hAnsi="仿宋" w:eastAsia="仿宋" w:cs="仿宋_GB2312"/>
          <w:b/>
          <w:bCs/>
          <w:color w:val="000000" w:themeColor="text1"/>
          <w:sz w:val="30"/>
          <w:szCs w:val="30"/>
          <w:lang w:eastAsia="zh-TW"/>
          <w14:textFill>
            <w14:solidFill>
              <w14:schemeClr w14:val="tx1"/>
            </w14:solidFill>
          </w14:textFill>
        </w:rPr>
        <w:t>学校思想政治理论课实践教学选题指南</w:t>
      </w:r>
    </w:p>
    <w:p>
      <w:pPr>
        <w:pStyle w:val="8"/>
        <w:spacing w:line="500" w:lineRule="exact"/>
        <w:ind w:firstLine="602" w:firstLineChars="200"/>
        <w:rPr>
          <w:rFonts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b/>
          <w:bCs/>
          <w:color w:val="000000" w:themeColor="text1"/>
          <w:sz w:val="30"/>
          <w:szCs w:val="30"/>
          <w14:textFill>
            <w14:solidFill>
              <w14:schemeClr w14:val="tx1"/>
            </w14:solidFill>
          </w14:textFill>
        </w:rPr>
        <w:t>1.经济领域实践团</w:t>
      </w:r>
      <w:r>
        <w:rPr>
          <w:rFonts w:hint="eastAsia" w:ascii="仿宋" w:hAnsi="仿宋" w:eastAsia="仿宋" w:cs="仿宋_GB2312"/>
          <w:color w:val="000000" w:themeColor="text1"/>
          <w:sz w:val="30"/>
          <w:szCs w:val="30"/>
          <w14:textFill>
            <w14:solidFill>
              <w14:schemeClr w14:val="tx1"/>
            </w14:solidFill>
          </w14:textFill>
        </w:rPr>
        <w:t>：数字经济创新提质“一号发展工程”、营商环境优化提升“一号改革工程”、“地瓜经济”提能升级“一号开放工程”、“万亩千亿”新产业平台和专业化特色小镇、</w:t>
      </w:r>
      <w:r>
        <w:rPr>
          <w:rFonts w:hint="eastAsia" w:ascii="仿宋" w:hAnsi="仿宋" w:eastAsia="仿宋" w:cs="仿宋_GB2312"/>
          <w:color w:val="000000" w:themeColor="text1"/>
          <w:sz w:val="30"/>
          <w:szCs w:val="30"/>
          <w:lang w:val="en-US" w:eastAsia="zh-CN"/>
          <w14:textFill>
            <w14:solidFill>
              <w14:schemeClr w14:val="tx1"/>
            </w14:solidFill>
          </w14:textFill>
        </w:rPr>
        <w:t>发展新质生产力的浙江实践、“一县一策”、“一业一策”支持山区海岛县高质量发展、</w:t>
      </w:r>
      <w:r>
        <w:rPr>
          <w:rFonts w:hint="eastAsia" w:ascii="仿宋" w:hAnsi="仿宋" w:eastAsia="仿宋" w:cs="仿宋_GB2312"/>
          <w:color w:val="000000" w:themeColor="text1"/>
          <w:sz w:val="30"/>
          <w:szCs w:val="30"/>
          <w14:textFill>
            <w14:solidFill>
              <w14:schemeClr w14:val="tx1"/>
            </w14:solidFill>
          </w14:textFill>
        </w:rPr>
        <w:t>浙江全面实施乡村振兴战略高水平推进农业农村现代化行动、共同富裕示范区建设的经济基础、经济建设领域的两个先行实践探索等。</w:t>
      </w:r>
    </w:p>
    <w:p>
      <w:pPr>
        <w:pStyle w:val="8"/>
        <w:spacing w:line="500" w:lineRule="exact"/>
        <w:ind w:firstLine="602" w:firstLineChars="200"/>
        <w:rPr>
          <w:rFonts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b/>
          <w:bCs/>
          <w:color w:val="000000" w:themeColor="text1"/>
          <w:sz w:val="30"/>
          <w:szCs w:val="30"/>
          <w14:textFill>
            <w14:solidFill>
              <w14:schemeClr w14:val="tx1"/>
            </w14:solidFill>
          </w14:textFill>
        </w:rPr>
        <w:t>2.政治领域实践团</w:t>
      </w:r>
      <w:r>
        <w:rPr>
          <w:rFonts w:hint="eastAsia" w:ascii="仿宋" w:hAnsi="仿宋" w:eastAsia="仿宋" w:cs="仿宋_GB2312"/>
          <w:color w:val="000000" w:themeColor="text1"/>
          <w:sz w:val="30"/>
          <w:szCs w:val="30"/>
          <w14:textFill>
            <w14:solidFill>
              <w14:schemeClr w14:val="tx1"/>
            </w14:solidFill>
          </w14:textFill>
        </w:rPr>
        <w:t xml:space="preserve">：共同富裕示范区和社会主义现代化先行省建设、“浦江经验”、“千万工程”、浙江高水平推进省域治理现代化的实践、民主政治建设的浙江实践、法治浙江建设、协商民主的浙江实践、政府数字化转型的浙江实践、浙江整体智治体系和现代政府建设、政治建设领域的两个先行实践探索等。 </w:t>
      </w:r>
    </w:p>
    <w:p>
      <w:pPr>
        <w:pStyle w:val="8"/>
        <w:spacing w:line="500" w:lineRule="exact"/>
        <w:ind w:firstLine="602" w:firstLineChars="200"/>
        <w:rPr>
          <w:rFonts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b/>
          <w:bCs/>
          <w:color w:val="000000" w:themeColor="text1"/>
          <w:sz w:val="30"/>
          <w:szCs w:val="30"/>
          <w14:textFill>
            <w14:solidFill>
              <w14:schemeClr w14:val="tx1"/>
            </w14:solidFill>
          </w14:textFill>
        </w:rPr>
        <w:t>3.文化领域实践团</w:t>
      </w:r>
      <w:r>
        <w:rPr>
          <w:rFonts w:hint="eastAsia" w:ascii="仿宋" w:hAnsi="仿宋" w:eastAsia="仿宋" w:cs="仿宋_GB2312"/>
          <w:color w:val="000000" w:themeColor="text1"/>
          <w:sz w:val="30"/>
          <w:szCs w:val="30"/>
          <w14:textFill>
            <w14:solidFill>
              <w14:schemeClr w14:val="tx1"/>
            </w14:solidFill>
          </w14:textFill>
        </w:rPr>
        <w:t>：精神共同富裕的浙江探索、</w:t>
      </w:r>
      <w:r>
        <w:rPr>
          <w:rFonts w:hint="eastAsia" w:ascii="仿宋" w:hAnsi="仿宋" w:eastAsia="仿宋" w:cs="仿宋_GB2312"/>
          <w:color w:val="000000" w:themeColor="text1"/>
          <w:sz w:val="30"/>
          <w:szCs w:val="30"/>
          <w:lang w:val="en-US" w:eastAsia="zh-CN"/>
          <w14:textFill>
            <w14:solidFill>
              <w14:schemeClr w14:val="tx1"/>
            </w14:solidFill>
          </w14:textFill>
        </w:rPr>
        <w:t>高水平</w:t>
      </w:r>
      <w:r>
        <w:rPr>
          <w:rFonts w:hint="eastAsia" w:ascii="仿宋" w:hAnsi="仿宋" w:eastAsia="仿宋" w:cs="仿宋_GB2312"/>
          <w:color w:val="000000" w:themeColor="text1"/>
          <w:sz w:val="30"/>
          <w:szCs w:val="30"/>
          <w14:textFill>
            <w14:solidFill>
              <w14:schemeClr w14:val="tx1"/>
            </w14:solidFill>
          </w14:textFill>
        </w:rPr>
        <w:t>文化强省建设、推进中华民族现代文明建设</w:t>
      </w:r>
      <w:r>
        <w:rPr>
          <w:rFonts w:hint="eastAsia" w:ascii="仿宋" w:hAnsi="仿宋" w:eastAsia="仿宋" w:cs="仿宋_GB2312"/>
          <w:color w:val="000000" w:themeColor="text1"/>
          <w:sz w:val="30"/>
          <w:szCs w:val="30"/>
          <w:lang w:val="en-US" w:eastAsia="zh-CN"/>
          <w14:textFill>
            <w14:solidFill>
              <w14:schemeClr w14:val="tx1"/>
            </w14:solidFill>
          </w14:textFill>
        </w:rPr>
        <w:t>的浙江</w:t>
      </w:r>
      <w:r>
        <w:rPr>
          <w:rFonts w:hint="eastAsia" w:ascii="仿宋" w:hAnsi="仿宋" w:eastAsia="仿宋" w:cs="仿宋_GB2312"/>
          <w:color w:val="000000" w:themeColor="text1"/>
          <w:sz w:val="30"/>
          <w:szCs w:val="30"/>
          <w14:textFill>
            <w14:solidFill>
              <w14:schemeClr w14:val="tx1"/>
            </w14:solidFill>
          </w14:textFill>
        </w:rPr>
        <w:t>探索</w:t>
      </w:r>
      <w:r>
        <w:rPr>
          <w:rFonts w:hint="eastAsia" w:ascii="仿宋" w:hAnsi="仿宋" w:eastAsia="仿宋" w:cs="仿宋_GB2312"/>
          <w:color w:val="000000" w:themeColor="text1"/>
          <w:sz w:val="30"/>
          <w:szCs w:val="30"/>
          <w:lang w:eastAsia="zh-CN"/>
          <w14:textFill>
            <w14:solidFill>
              <w14:schemeClr w14:val="tx1"/>
            </w14:solidFill>
          </w14:textFill>
        </w:rPr>
        <w:t>、“书香浙江”建设</w:t>
      </w:r>
      <w:r>
        <w:rPr>
          <w:rFonts w:hint="eastAsia" w:ascii="仿宋" w:hAnsi="仿宋" w:eastAsia="仿宋" w:cs="仿宋_GB2312"/>
          <w:color w:val="000000" w:themeColor="text1"/>
          <w:sz w:val="30"/>
          <w:szCs w:val="30"/>
          <w14:textFill>
            <w14:solidFill>
              <w14:schemeClr w14:val="tx1"/>
            </w14:solidFill>
          </w14:textFill>
        </w:rPr>
        <w:t>、“浙江有礼”省域文明品牌</w:t>
      </w:r>
      <w:r>
        <w:rPr>
          <w:rFonts w:hint="eastAsia" w:ascii="仿宋" w:hAnsi="仿宋" w:eastAsia="仿宋" w:cs="仿宋_GB2312"/>
          <w:color w:val="000000" w:themeColor="text1"/>
          <w:sz w:val="30"/>
          <w:szCs w:val="30"/>
          <w:lang w:eastAsia="zh-CN"/>
          <w14:textFill>
            <w14:solidFill>
              <w14:schemeClr w14:val="tx1"/>
            </w14:solidFill>
          </w14:textFill>
        </w:rPr>
        <w:t>、“</w:t>
      </w:r>
      <w:r>
        <w:rPr>
          <w:rFonts w:hint="eastAsia" w:ascii="仿宋" w:hAnsi="仿宋" w:eastAsia="仿宋" w:cs="仿宋_GB2312"/>
          <w:color w:val="000000" w:themeColor="text1"/>
          <w:sz w:val="30"/>
          <w:szCs w:val="30"/>
          <w:lang w:val="en-US" w:eastAsia="zh-CN"/>
          <w14:textFill>
            <w14:solidFill>
              <w14:schemeClr w14:val="tx1"/>
            </w14:solidFill>
          </w14:textFill>
        </w:rPr>
        <w:t>宋韵文化”、</w:t>
      </w:r>
      <w:r>
        <w:rPr>
          <w:rFonts w:hint="eastAsia" w:ascii="仿宋" w:hAnsi="仿宋" w:eastAsia="仿宋" w:cs="仿宋_GB2312"/>
          <w:color w:val="000000" w:themeColor="text1"/>
          <w:sz w:val="30"/>
          <w:szCs w:val="30"/>
          <w14:textFill>
            <w14:solidFill>
              <w14:schemeClr w14:val="tx1"/>
            </w14:solidFill>
          </w14:textFill>
        </w:rPr>
        <w:t>浙西南革命精神、浙江精神、浙商“四千精神”、文化建设领域的两个先行实践探索等。</w:t>
      </w:r>
    </w:p>
    <w:p>
      <w:pPr>
        <w:pStyle w:val="8"/>
        <w:spacing w:line="500" w:lineRule="exact"/>
        <w:ind w:firstLine="602" w:firstLineChars="200"/>
        <w:rPr>
          <w:rFonts w:ascii="仿宋" w:hAnsi="仿宋" w:eastAsia="仿宋" w:cs="仿宋_GB2312"/>
          <w:color w:val="000000" w:themeColor="text1"/>
          <w:sz w:val="30"/>
          <w:szCs w:val="30"/>
          <w14:textFill>
            <w14:solidFill>
              <w14:schemeClr w14:val="tx1"/>
            </w14:solidFill>
          </w14:textFill>
        </w:rPr>
      </w:pPr>
      <w:r>
        <w:rPr>
          <w:rFonts w:hint="eastAsia" w:ascii="仿宋" w:hAnsi="仿宋" w:eastAsia="仿宋" w:cs="仿宋_GB2312"/>
          <w:b/>
          <w:bCs/>
          <w:color w:val="000000" w:themeColor="text1"/>
          <w:sz w:val="30"/>
          <w:szCs w:val="30"/>
          <w14:textFill>
            <w14:solidFill>
              <w14:schemeClr w14:val="tx1"/>
            </w14:solidFill>
          </w14:textFill>
        </w:rPr>
        <w:t>4.社会领域实践团</w:t>
      </w:r>
      <w:r>
        <w:rPr>
          <w:rFonts w:hint="eastAsia" w:ascii="仿宋" w:hAnsi="仿宋" w:eastAsia="仿宋" w:cs="仿宋_GB2312"/>
          <w:color w:val="000000" w:themeColor="text1"/>
          <w:sz w:val="30"/>
          <w:szCs w:val="30"/>
          <w14:textFill>
            <w14:solidFill>
              <w14:schemeClr w14:val="tx1"/>
            </w14:solidFill>
          </w14:textFill>
        </w:rPr>
        <w:t>：助力山区26县同步迈向现代化和共同富裕、平安浙江建设、“最多跑一次”改革的浙江经验、浙江未来社区建设、党建统领的自治、法治、德治、智治融合基层治理体系、“智慧民生”工程、数字社会重点应用场景建设、“城市大脑”建设、以县城为重要载体的城镇化建设</w:t>
      </w:r>
      <w:r>
        <w:rPr>
          <w:rFonts w:hint="eastAsia" w:ascii="仿宋" w:hAnsi="仿宋" w:eastAsia="仿宋" w:cs="仿宋_GB2312"/>
          <w:color w:val="000000" w:themeColor="text1"/>
          <w:sz w:val="30"/>
          <w:szCs w:val="30"/>
          <w:lang w:eastAsia="zh-CN"/>
          <w14:textFill>
            <w14:solidFill>
              <w14:schemeClr w14:val="tx1"/>
            </w14:solidFill>
          </w14:textFill>
        </w:rPr>
        <w:t>、公共服务“七优享”、</w:t>
      </w:r>
      <w:r>
        <w:rPr>
          <w:rFonts w:hint="eastAsia" w:ascii="仿宋" w:hAnsi="仿宋" w:eastAsia="仿宋" w:cs="仿宋_GB2312"/>
          <w:color w:val="000000" w:themeColor="text1"/>
          <w:sz w:val="30"/>
          <w:szCs w:val="30"/>
          <w14:textFill>
            <w14:solidFill>
              <w14:schemeClr w14:val="tx1"/>
            </w14:solidFill>
          </w14:textFill>
        </w:rPr>
        <w:t>社会建设领域的两个先行实践探索等。</w:t>
      </w:r>
    </w:p>
    <w:p>
      <w:pPr>
        <w:pStyle w:val="8"/>
        <w:spacing w:line="500" w:lineRule="exact"/>
        <w:ind w:firstLine="602" w:firstLineChars="200"/>
      </w:pPr>
      <w:r>
        <w:rPr>
          <w:rFonts w:hint="eastAsia" w:ascii="仿宋" w:hAnsi="仿宋" w:eastAsia="仿宋" w:cs="仿宋_GB2312"/>
          <w:b/>
          <w:bCs/>
          <w:color w:val="000000" w:themeColor="text1"/>
          <w:sz w:val="30"/>
          <w:szCs w:val="30"/>
          <w14:textFill>
            <w14:solidFill>
              <w14:schemeClr w14:val="tx1"/>
            </w14:solidFill>
          </w14:textFill>
        </w:rPr>
        <w:t>5.生态文明领域实践团</w:t>
      </w:r>
      <w:r>
        <w:rPr>
          <w:rFonts w:hint="eastAsia" w:ascii="仿宋" w:hAnsi="仿宋" w:eastAsia="仿宋" w:cs="仿宋_GB2312"/>
          <w:color w:val="000000" w:themeColor="text1"/>
          <w:sz w:val="30"/>
          <w:szCs w:val="30"/>
          <w14:textFill>
            <w14:solidFill>
              <w14:schemeClr w14:val="tx1"/>
            </w14:solidFill>
          </w14:textFill>
        </w:rPr>
        <w:t>：“两山理论”在浙江的萌发与实践、美丽浙江建设、“诗画浙江”大花园建设、山水林田湖草生命共同体建设的浙江实践、浙江落实碳达峰、碳中和要求的实践探索、“千万工程”与美丽浙江建设、“宁静小区”建设、打赢蓝天保卫战的浙江行动、共同富裕示范区建设的生态文明基础、生态文明建设领域的两个先行实践探索等。</w:t>
      </w:r>
      <w:r>
        <w:br w:type="page"/>
      </w:r>
    </w:p>
    <w:p>
      <w:pPr>
        <w:snapToGrid w:val="0"/>
        <w:spacing w:line="360" w:lineRule="auto"/>
        <w:jc w:val="center"/>
        <w:rPr>
          <w:b/>
          <w:bCs/>
          <w:sz w:val="32"/>
          <w:szCs w:val="32"/>
          <w:lang w:eastAsia="zh-CN"/>
        </w:rPr>
      </w:pPr>
      <w:r>
        <w:rPr>
          <w:rFonts w:hint="eastAsia"/>
          <w:b/>
          <w:bCs/>
          <w:sz w:val="32"/>
          <w:szCs w:val="32"/>
          <w:lang w:eastAsia="zh-CN"/>
        </w:rPr>
        <w:t xml:space="preserve"> </w:t>
      </w:r>
    </w:p>
    <w:p>
      <w:pPr>
        <w:pStyle w:val="8"/>
        <w:spacing w:line="520" w:lineRule="exact"/>
        <w:jc w:val="center"/>
        <w:rPr>
          <w:rFonts w:ascii="华文中宋" w:hAnsi="华文中宋" w:eastAsia="华文中宋"/>
          <w:b/>
          <w:spacing w:val="-6"/>
          <w:sz w:val="36"/>
          <w:szCs w:val="36"/>
        </w:rPr>
      </w:pPr>
      <w:r>
        <w:rPr>
          <w:rFonts w:hint="eastAsia" w:ascii="华文中宋" w:hAnsi="华文中宋" w:eastAsia="华文中宋"/>
          <w:b/>
          <w:spacing w:val="-6"/>
          <w:sz w:val="36"/>
          <w:szCs w:val="36"/>
        </w:rPr>
        <w:t>浙江工业大学思想政治理论课社会实践报告要求</w:t>
      </w:r>
    </w:p>
    <w:p>
      <w:pPr>
        <w:snapToGrid w:val="0"/>
        <w:spacing w:line="360" w:lineRule="auto"/>
        <w:jc w:val="center"/>
        <w:rPr>
          <w:b/>
          <w:bCs/>
          <w:sz w:val="32"/>
          <w:szCs w:val="32"/>
          <w:lang w:eastAsia="zh-CN"/>
        </w:rPr>
      </w:pPr>
    </w:p>
    <w:p>
      <w:pPr>
        <w:snapToGrid w:val="0"/>
        <w:spacing w:line="360" w:lineRule="auto"/>
        <w:ind w:firstLine="602" w:firstLineChars="200"/>
        <w:rPr>
          <w:rFonts w:ascii="仿宋" w:hAnsi="仿宋" w:eastAsia="仿宋" w:cs="Calibri"/>
          <w:b/>
          <w:color w:val="000000"/>
          <w:kern w:val="2"/>
          <w:sz w:val="30"/>
          <w:szCs w:val="30"/>
          <w:u w:color="000000"/>
          <w:lang w:eastAsia="zh-CN"/>
        </w:rPr>
      </w:pPr>
      <w:r>
        <w:rPr>
          <w:rFonts w:hint="eastAsia" w:ascii="仿宋" w:hAnsi="仿宋" w:eastAsia="仿宋" w:cs="Calibri"/>
          <w:b/>
          <w:color w:val="000000"/>
          <w:kern w:val="2"/>
          <w:sz w:val="30"/>
          <w:szCs w:val="30"/>
          <w:u w:color="000000"/>
          <w:lang w:eastAsia="zh-CN"/>
        </w:rPr>
        <w:t>社会实践报告</w:t>
      </w:r>
      <w:r>
        <w:rPr>
          <w:rFonts w:ascii="仿宋" w:hAnsi="仿宋" w:eastAsia="仿宋" w:cs="Calibri"/>
          <w:b/>
          <w:color w:val="000000"/>
          <w:kern w:val="2"/>
          <w:sz w:val="30"/>
          <w:szCs w:val="30"/>
          <w:u w:color="000000"/>
          <w:lang w:eastAsia="zh-CN"/>
        </w:rPr>
        <w:t>应包括以</w:t>
      </w:r>
      <w:r>
        <w:rPr>
          <w:rFonts w:hint="eastAsia" w:ascii="仿宋" w:hAnsi="仿宋" w:eastAsia="仿宋" w:cs="Calibri"/>
          <w:b/>
          <w:color w:val="000000"/>
          <w:kern w:val="2"/>
          <w:sz w:val="30"/>
          <w:szCs w:val="30"/>
          <w:u w:color="000000"/>
          <w:lang w:eastAsia="zh-CN"/>
        </w:rPr>
        <w:t>下项目</w:t>
      </w:r>
      <w:r>
        <w:rPr>
          <w:rFonts w:ascii="仿宋" w:hAnsi="仿宋" w:eastAsia="仿宋" w:cs="Calibri"/>
          <w:b/>
          <w:color w:val="000000"/>
          <w:kern w:val="2"/>
          <w:sz w:val="30"/>
          <w:szCs w:val="30"/>
          <w:u w:color="000000"/>
          <w:lang w:eastAsia="zh-CN"/>
        </w:rPr>
        <w:t>：</w:t>
      </w:r>
    </w:p>
    <w:p>
      <w:pPr>
        <w:snapToGrid w:val="0"/>
        <w:spacing w:line="360" w:lineRule="auto"/>
        <w:ind w:firstLine="600" w:firstLineChars="200"/>
        <w:rPr>
          <w:rFonts w:ascii="仿宋" w:hAnsi="仿宋" w:eastAsia="仿宋" w:cs="Calibri"/>
          <w:color w:val="000000"/>
          <w:kern w:val="2"/>
          <w:sz w:val="30"/>
          <w:szCs w:val="30"/>
          <w:u w:color="000000"/>
          <w:lang w:eastAsia="zh-CN"/>
        </w:rPr>
      </w:pPr>
      <w:r>
        <w:rPr>
          <w:rFonts w:ascii="仿宋" w:hAnsi="仿宋" w:eastAsia="仿宋" w:cs="Calibri"/>
          <w:color w:val="000000"/>
          <w:kern w:val="2"/>
          <w:sz w:val="30"/>
          <w:szCs w:val="30"/>
          <w:u w:color="000000"/>
          <w:lang w:eastAsia="zh-CN"/>
        </w:rPr>
        <w:t>（1）封面（</w:t>
      </w:r>
      <w:r>
        <w:rPr>
          <w:rFonts w:hint="eastAsia" w:ascii="仿宋" w:hAnsi="仿宋" w:eastAsia="仿宋" w:cs="Calibri"/>
          <w:color w:val="000000"/>
          <w:kern w:val="2"/>
          <w:sz w:val="30"/>
          <w:szCs w:val="30"/>
          <w:u w:color="000000"/>
          <w:lang w:eastAsia="zh-CN"/>
        </w:rPr>
        <w:t>含报告</w:t>
      </w:r>
      <w:r>
        <w:rPr>
          <w:rFonts w:ascii="仿宋" w:hAnsi="仿宋" w:eastAsia="仿宋" w:cs="Calibri"/>
          <w:color w:val="000000"/>
          <w:kern w:val="2"/>
          <w:sz w:val="30"/>
          <w:szCs w:val="30"/>
          <w:u w:color="000000"/>
          <w:lang w:eastAsia="zh-CN"/>
        </w:rPr>
        <w:t>题</w:t>
      </w:r>
      <w:r>
        <w:rPr>
          <w:rFonts w:hint="eastAsia" w:ascii="仿宋" w:hAnsi="仿宋" w:eastAsia="仿宋" w:cs="Calibri"/>
          <w:color w:val="000000"/>
          <w:kern w:val="2"/>
          <w:sz w:val="30"/>
          <w:szCs w:val="30"/>
          <w:u w:color="000000"/>
          <w:lang w:eastAsia="zh-CN"/>
        </w:rPr>
        <w:t>目及署名）</w:t>
      </w:r>
    </w:p>
    <w:p>
      <w:pPr>
        <w:snapToGrid w:val="0"/>
        <w:spacing w:line="360" w:lineRule="auto"/>
        <w:ind w:firstLine="600" w:firstLineChars="200"/>
        <w:rPr>
          <w:rFonts w:ascii="仿宋" w:hAnsi="仿宋" w:eastAsia="仿宋" w:cs="Calibri"/>
          <w:color w:val="000000"/>
          <w:kern w:val="2"/>
          <w:sz w:val="30"/>
          <w:szCs w:val="30"/>
          <w:u w:color="000000"/>
          <w:lang w:eastAsia="zh-CN"/>
        </w:rPr>
      </w:pPr>
      <w:r>
        <w:rPr>
          <w:rFonts w:ascii="仿宋" w:hAnsi="仿宋" w:eastAsia="仿宋" w:cs="Calibri"/>
          <w:color w:val="000000"/>
          <w:kern w:val="2"/>
          <w:sz w:val="30"/>
          <w:szCs w:val="30"/>
          <w:u w:color="000000"/>
          <w:lang w:eastAsia="zh-CN"/>
        </w:rPr>
        <w:t>（2）目录</w:t>
      </w:r>
    </w:p>
    <w:p>
      <w:pPr>
        <w:snapToGrid w:val="0"/>
        <w:spacing w:line="360" w:lineRule="auto"/>
        <w:ind w:firstLine="600" w:firstLineChars="200"/>
        <w:rPr>
          <w:rFonts w:ascii="仿宋" w:hAnsi="仿宋" w:eastAsia="仿宋" w:cs="Calibri"/>
          <w:color w:val="000000"/>
          <w:kern w:val="2"/>
          <w:sz w:val="30"/>
          <w:szCs w:val="30"/>
          <w:u w:color="000000"/>
          <w:lang w:eastAsia="zh-CN"/>
        </w:rPr>
      </w:pPr>
      <w:r>
        <w:rPr>
          <w:rFonts w:ascii="仿宋" w:hAnsi="仿宋" w:eastAsia="仿宋" w:cs="Calibri"/>
          <w:color w:val="000000"/>
          <w:kern w:val="2"/>
          <w:sz w:val="30"/>
          <w:szCs w:val="30"/>
          <w:u w:color="000000"/>
          <w:lang w:eastAsia="zh-CN"/>
        </w:rPr>
        <w:t>（3）正文</w:t>
      </w:r>
    </w:p>
    <w:p>
      <w:pPr>
        <w:snapToGrid w:val="0"/>
        <w:spacing w:line="360" w:lineRule="auto"/>
        <w:ind w:firstLine="600" w:firstLineChars="200"/>
        <w:rPr>
          <w:rFonts w:ascii="仿宋" w:hAnsi="仿宋" w:eastAsia="仿宋" w:cs="Calibri"/>
          <w:color w:val="000000"/>
          <w:kern w:val="2"/>
          <w:sz w:val="30"/>
          <w:szCs w:val="30"/>
          <w:u w:color="000000"/>
          <w:lang w:eastAsia="zh-CN"/>
        </w:rPr>
      </w:pPr>
      <w:r>
        <w:rPr>
          <w:rFonts w:hint="eastAsia" w:ascii="仿宋" w:hAnsi="仿宋" w:eastAsia="仿宋" w:cs="Calibri"/>
          <w:color w:val="000000"/>
          <w:kern w:val="2"/>
          <w:sz w:val="30"/>
          <w:szCs w:val="30"/>
          <w:u w:color="000000"/>
          <w:lang w:eastAsia="zh-CN"/>
        </w:rPr>
        <w:t>以上各项目的</w:t>
      </w:r>
      <w:r>
        <w:rPr>
          <w:rFonts w:ascii="仿宋" w:hAnsi="仿宋" w:eastAsia="仿宋" w:cs="Calibri"/>
          <w:color w:val="000000"/>
          <w:kern w:val="2"/>
          <w:sz w:val="30"/>
          <w:szCs w:val="30"/>
          <w:u w:color="000000"/>
          <w:lang w:eastAsia="zh-CN"/>
        </w:rPr>
        <w:t>基本内容与要求如下：</w:t>
      </w:r>
    </w:p>
    <w:p>
      <w:pPr>
        <w:pStyle w:val="9"/>
        <w:numPr>
          <w:ilvl w:val="0"/>
          <w:numId w:val="1"/>
        </w:numPr>
        <w:spacing w:line="360" w:lineRule="auto"/>
        <w:ind w:firstLineChars="0"/>
        <w:rPr>
          <w:rFonts w:ascii="仿宋" w:hAnsi="仿宋" w:eastAsia="仿宋" w:cs="Calibri"/>
          <w:color w:val="000000"/>
          <w:kern w:val="2"/>
          <w:sz w:val="30"/>
          <w:szCs w:val="30"/>
          <w:u w:color="000000"/>
          <w:lang w:eastAsia="zh-CN"/>
        </w:rPr>
      </w:pPr>
      <w:r>
        <w:rPr>
          <w:rFonts w:ascii="仿宋" w:hAnsi="仿宋" w:eastAsia="仿宋" w:cs="Calibri"/>
          <w:color w:val="000000"/>
          <w:kern w:val="2"/>
          <w:sz w:val="30"/>
          <w:szCs w:val="30"/>
          <w:u w:color="000000"/>
          <w:lang w:eastAsia="zh-CN"/>
        </w:rPr>
        <w:t>封面</w:t>
      </w:r>
    </w:p>
    <w:p>
      <w:pPr>
        <w:spacing w:line="360" w:lineRule="auto"/>
        <w:ind w:firstLine="435"/>
        <w:rPr>
          <w:rFonts w:ascii="仿宋" w:hAnsi="仿宋" w:eastAsia="仿宋" w:cs="Calibri"/>
          <w:color w:val="000000"/>
          <w:kern w:val="2"/>
          <w:sz w:val="30"/>
          <w:szCs w:val="30"/>
          <w:u w:color="000000"/>
          <w:lang w:eastAsia="zh-CN"/>
        </w:rPr>
      </w:pPr>
      <w:r>
        <w:rPr>
          <w:rFonts w:hint="eastAsia" w:ascii="仿宋" w:hAnsi="仿宋" w:eastAsia="仿宋" w:cs="Calibri"/>
          <w:color w:val="000000"/>
          <w:kern w:val="2"/>
          <w:sz w:val="30"/>
          <w:szCs w:val="30"/>
          <w:u w:color="000000"/>
          <w:lang w:eastAsia="zh-CN"/>
        </w:rPr>
        <w:t>社会实践报告的</w:t>
      </w:r>
      <w:r>
        <w:rPr>
          <w:rFonts w:ascii="仿宋" w:hAnsi="仿宋" w:eastAsia="仿宋" w:cs="Calibri"/>
          <w:color w:val="000000"/>
          <w:kern w:val="2"/>
          <w:sz w:val="30"/>
          <w:szCs w:val="30"/>
          <w:u w:color="000000"/>
          <w:lang w:eastAsia="zh-CN"/>
        </w:rPr>
        <w:t>封面</w:t>
      </w:r>
      <w:r>
        <w:rPr>
          <w:rFonts w:hint="eastAsia" w:ascii="仿宋" w:hAnsi="仿宋" w:eastAsia="仿宋" w:cs="Calibri"/>
          <w:color w:val="000000"/>
          <w:kern w:val="2"/>
          <w:sz w:val="30"/>
          <w:szCs w:val="30"/>
          <w:u w:color="000000"/>
          <w:lang w:eastAsia="zh-CN"/>
        </w:rPr>
        <w:t>信息</w:t>
      </w:r>
      <w:r>
        <w:rPr>
          <w:rFonts w:ascii="仿宋" w:hAnsi="仿宋" w:eastAsia="仿宋" w:cs="Calibri"/>
          <w:color w:val="000000"/>
          <w:kern w:val="2"/>
          <w:sz w:val="30"/>
          <w:szCs w:val="30"/>
          <w:u w:color="000000"/>
          <w:lang w:eastAsia="zh-CN"/>
        </w:rPr>
        <w:t>包括</w:t>
      </w:r>
      <w:r>
        <w:rPr>
          <w:rFonts w:hint="eastAsia" w:ascii="仿宋" w:hAnsi="仿宋" w:eastAsia="仿宋" w:cs="Calibri"/>
          <w:color w:val="000000"/>
          <w:kern w:val="2"/>
          <w:sz w:val="30"/>
          <w:szCs w:val="30"/>
          <w:u w:color="000000"/>
          <w:lang w:eastAsia="zh-CN"/>
        </w:rPr>
        <w:t>：学院、专业、实践报告全</w:t>
      </w:r>
      <w:r>
        <w:rPr>
          <w:rFonts w:ascii="仿宋" w:hAnsi="仿宋" w:eastAsia="仿宋" w:cs="Calibri"/>
          <w:color w:val="000000"/>
          <w:kern w:val="2"/>
          <w:sz w:val="30"/>
          <w:szCs w:val="30"/>
          <w:u w:color="000000"/>
          <w:lang w:eastAsia="zh-CN"/>
        </w:rPr>
        <w:t>称、学生个人信息</w:t>
      </w:r>
      <w:r>
        <w:rPr>
          <w:rFonts w:hint="eastAsia" w:ascii="仿宋" w:hAnsi="仿宋" w:eastAsia="仿宋" w:cs="Calibri"/>
          <w:color w:val="000000"/>
          <w:kern w:val="2"/>
          <w:sz w:val="30"/>
          <w:szCs w:val="30"/>
          <w:u w:color="000000"/>
          <w:lang w:eastAsia="zh-CN"/>
        </w:rPr>
        <w:t>、</w:t>
      </w:r>
      <w:r>
        <w:rPr>
          <w:rFonts w:ascii="仿宋" w:hAnsi="仿宋" w:eastAsia="仿宋" w:cs="Calibri"/>
          <w:color w:val="000000"/>
          <w:kern w:val="2"/>
          <w:sz w:val="30"/>
          <w:szCs w:val="30"/>
          <w:u w:color="000000"/>
          <w:lang w:eastAsia="zh-CN"/>
        </w:rPr>
        <w:t>指导老师信息</w:t>
      </w:r>
      <w:r>
        <w:rPr>
          <w:rFonts w:hint="eastAsia" w:ascii="仿宋" w:hAnsi="仿宋" w:eastAsia="仿宋" w:cs="Calibri"/>
          <w:color w:val="000000"/>
          <w:kern w:val="2"/>
          <w:sz w:val="30"/>
          <w:szCs w:val="30"/>
          <w:u w:color="000000"/>
          <w:lang w:eastAsia="zh-CN"/>
        </w:rPr>
        <w:t>以及论文完成时间等</w:t>
      </w:r>
      <w:r>
        <w:rPr>
          <w:rFonts w:ascii="仿宋" w:hAnsi="仿宋" w:eastAsia="仿宋" w:cs="Calibri"/>
          <w:color w:val="000000"/>
          <w:kern w:val="2"/>
          <w:sz w:val="30"/>
          <w:szCs w:val="30"/>
          <w:u w:color="000000"/>
          <w:lang w:eastAsia="zh-CN"/>
        </w:rPr>
        <w:t>。</w:t>
      </w:r>
    </w:p>
    <w:p>
      <w:pPr>
        <w:pStyle w:val="9"/>
        <w:numPr>
          <w:ilvl w:val="0"/>
          <w:numId w:val="1"/>
        </w:numPr>
        <w:spacing w:line="360" w:lineRule="auto"/>
        <w:ind w:firstLineChars="0"/>
        <w:rPr>
          <w:rFonts w:ascii="仿宋" w:hAnsi="仿宋" w:eastAsia="仿宋" w:cs="Calibri"/>
          <w:color w:val="000000"/>
          <w:kern w:val="2"/>
          <w:sz w:val="30"/>
          <w:szCs w:val="30"/>
          <w:u w:color="000000"/>
          <w:lang w:eastAsia="zh-CN"/>
        </w:rPr>
      </w:pPr>
      <w:r>
        <w:rPr>
          <w:rFonts w:hint="eastAsia" w:ascii="仿宋" w:hAnsi="仿宋" w:eastAsia="仿宋" w:cs="Calibri"/>
          <w:color w:val="000000"/>
          <w:kern w:val="2"/>
          <w:sz w:val="30"/>
          <w:szCs w:val="30"/>
          <w:u w:color="000000"/>
          <w:lang w:eastAsia="zh-CN"/>
        </w:rPr>
        <w:t>目录</w:t>
      </w:r>
    </w:p>
    <w:p>
      <w:pPr>
        <w:spacing w:line="360" w:lineRule="auto"/>
        <w:ind w:firstLine="600" w:firstLineChars="200"/>
        <w:rPr>
          <w:rFonts w:ascii="仿宋" w:hAnsi="仿宋" w:eastAsia="仿宋" w:cs="Calibri"/>
          <w:color w:val="000000"/>
          <w:kern w:val="2"/>
          <w:sz w:val="30"/>
          <w:szCs w:val="30"/>
          <w:u w:color="000000"/>
          <w:lang w:eastAsia="zh-CN"/>
        </w:rPr>
      </w:pPr>
      <w:r>
        <w:rPr>
          <w:rFonts w:hint="eastAsia" w:ascii="仿宋" w:hAnsi="仿宋" w:eastAsia="仿宋" w:cs="Calibri"/>
          <w:color w:val="000000"/>
          <w:kern w:val="2"/>
          <w:sz w:val="30"/>
          <w:szCs w:val="30"/>
          <w:u w:color="000000"/>
          <w:lang w:eastAsia="zh-CN"/>
        </w:rPr>
        <w:t>社会实践报告的</w:t>
      </w:r>
      <w:r>
        <w:rPr>
          <w:rFonts w:ascii="仿宋" w:hAnsi="仿宋" w:eastAsia="仿宋" w:cs="Calibri"/>
          <w:color w:val="000000"/>
          <w:kern w:val="2"/>
          <w:sz w:val="30"/>
          <w:szCs w:val="30"/>
          <w:u w:color="000000"/>
          <w:lang w:eastAsia="zh-CN"/>
        </w:rPr>
        <w:t>目录内容应当层次清晰，与正文题序层次</w:t>
      </w:r>
      <w:r>
        <w:rPr>
          <w:rFonts w:hint="eastAsia" w:ascii="仿宋" w:hAnsi="仿宋" w:eastAsia="仿宋" w:cs="Calibri"/>
          <w:color w:val="000000"/>
          <w:kern w:val="2"/>
          <w:sz w:val="30"/>
          <w:szCs w:val="30"/>
          <w:u w:color="000000"/>
          <w:lang w:eastAsia="zh-CN"/>
        </w:rPr>
        <w:t>、</w:t>
      </w:r>
      <w:r>
        <w:rPr>
          <w:rFonts w:ascii="仿宋" w:hAnsi="仿宋" w:eastAsia="仿宋" w:cs="Calibri"/>
          <w:color w:val="000000"/>
          <w:kern w:val="2"/>
          <w:sz w:val="30"/>
          <w:szCs w:val="30"/>
          <w:u w:color="000000"/>
          <w:lang w:eastAsia="zh-CN"/>
        </w:rPr>
        <w:t>标题内容</w:t>
      </w:r>
      <w:r>
        <w:rPr>
          <w:rFonts w:hint="eastAsia" w:ascii="仿宋" w:hAnsi="仿宋" w:eastAsia="仿宋" w:cs="Calibri"/>
          <w:color w:val="000000"/>
          <w:kern w:val="2"/>
          <w:sz w:val="30"/>
          <w:szCs w:val="30"/>
          <w:u w:color="000000"/>
          <w:lang w:eastAsia="zh-CN"/>
        </w:rPr>
        <w:t>应</w:t>
      </w:r>
      <w:r>
        <w:rPr>
          <w:rFonts w:ascii="仿宋" w:hAnsi="仿宋" w:eastAsia="仿宋" w:cs="Calibri"/>
          <w:color w:val="000000"/>
          <w:kern w:val="2"/>
          <w:sz w:val="30"/>
          <w:szCs w:val="30"/>
          <w:u w:color="000000"/>
          <w:lang w:eastAsia="zh-CN"/>
        </w:rPr>
        <w:t>完全一致。</w:t>
      </w:r>
    </w:p>
    <w:p>
      <w:pPr>
        <w:pStyle w:val="9"/>
        <w:numPr>
          <w:ilvl w:val="0"/>
          <w:numId w:val="1"/>
        </w:numPr>
        <w:spacing w:line="360" w:lineRule="auto"/>
        <w:ind w:firstLineChars="0"/>
        <w:rPr>
          <w:rFonts w:ascii="仿宋" w:hAnsi="仿宋" w:eastAsia="仿宋" w:cs="Calibri"/>
          <w:color w:val="000000"/>
          <w:kern w:val="2"/>
          <w:sz w:val="30"/>
          <w:szCs w:val="30"/>
          <w:u w:color="000000"/>
          <w:lang w:eastAsia="zh-CN"/>
        </w:rPr>
      </w:pPr>
      <w:r>
        <w:rPr>
          <w:rFonts w:hint="eastAsia" w:ascii="仿宋" w:hAnsi="仿宋" w:eastAsia="仿宋" w:cs="Calibri"/>
          <w:color w:val="000000"/>
          <w:kern w:val="2"/>
          <w:sz w:val="30"/>
          <w:szCs w:val="30"/>
          <w:u w:color="000000"/>
          <w:lang w:eastAsia="zh-CN"/>
        </w:rPr>
        <w:t>正文</w:t>
      </w:r>
    </w:p>
    <w:p>
      <w:pPr>
        <w:spacing w:line="360" w:lineRule="auto"/>
        <w:ind w:firstLine="600" w:firstLineChars="200"/>
        <w:rPr>
          <w:rFonts w:ascii="仿宋" w:hAnsi="仿宋" w:eastAsia="仿宋" w:cs="Calibri"/>
          <w:color w:val="000000"/>
          <w:kern w:val="2"/>
          <w:sz w:val="30"/>
          <w:szCs w:val="30"/>
          <w:u w:color="000000"/>
          <w:lang w:eastAsia="zh-CN"/>
        </w:rPr>
      </w:pPr>
      <w:r>
        <w:rPr>
          <w:rFonts w:hint="eastAsia" w:ascii="仿宋" w:hAnsi="仿宋" w:eastAsia="仿宋" w:cs="Calibri"/>
          <w:color w:val="000000"/>
          <w:kern w:val="2"/>
          <w:sz w:val="30"/>
          <w:szCs w:val="30"/>
          <w:u w:color="000000"/>
          <w:lang w:eastAsia="zh-CN"/>
        </w:rPr>
        <w:t>社会实践报告的</w:t>
      </w:r>
      <w:r>
        <w:rPr>
          <w:rFonts w:ascii="仿宋" w:hAnsi="仿宋" w:eastAsia="仿宋" w:cs="Calibri"/>
          <w:color w:val="000000"/>
          <w:kern w:val="2"/>
          <w:sz w:val="30"/>
          <w:szCs w:val="30"/>
          <w:u w:color="000000"/>
          <w:lang w:eastAsia="zh-CN"/>
        </w:rPr>
        <w:t>正文部分包括</w:t>
      </w:r>
      <w:r>
        <w:rPr>
          <w:rFonts w:hint="eastAsia" w:ascii="仿宋" w:hAnsi="仿宋" w:eastAsia="仿宋" w:cs="Calibri"/>
          <w:color w:val="000000"/>
          <w:kern w:val="2"/>
          <w:sz w:val="30"/>
          <w:szCs w:val="30"/>
          <w:u w:color="000000"/>
          <w:lang w:eastAsia="zh-CN"/>
        </w:rPr>
        <w:t>前言</w:t>
      </w:r>
      <w:r>
        <w:rPr>
          <w:rFonts w:ascii="仿宋" w:hAnsi="仿宋" w:eastAsia="仿宋" w:cs="Calibri"/>
          <w:color w:val="000000"/>
          <w:kern w:val="2"/>
          <w:sz w:val="30"/>
          <w:szCs w:val="30"/>
          <w:u w:color="000000"/>
          <w:lang w:eastAsia="zh-CN"/>
        </w:rPr>
        <w:t>（或导论、绪论）、主体及</w:t>
      </w:r>
      <w:r>
        <w:rPr>
          <w:rFonts w:hint="eastAsia" w:ascii="仿宋" w:hAnsi="仿宋" w:eastAsia="仿宋" w:cs="Calibri"/>
          <w:color w:val="000000"/>
          <w:kern w:val="2"/>
          <w:sz w:val="30"/>
          <w:szCs w:val="30"/>
          <w:u w:color="000000"/>
          <w:lang w:eastAsia="zh-CN"/>
        </w:rPr>
        <w:t>结尾</w:t>
      </w:r>
      <w:r>
        <w:rPr>
          <w:rFonts w:ascii="仿宋" w:hAnsi="仿宋" w:eastAsia="仿宋" w:cs="Calibri"/>
          <w:color w:val="000000"/>
          <w:kern w:val="2"/>
          <w:sz w:val="30"/>
          <w:szCs w:val="30"/>
          <w:u w:color="000000"/>
          <w:lang w:eastAsia="zh-CN"/>
        </w:rPr>
        <w:t>（或结论）三个部分，总字数不少于</w:t>
      </w:r>
      <w:r>
        <w:rPr>
          <w:rFonts w:hint="eastAsia" w:ascii="仿宋" w:hAnsi="仿宋" w:eastAsia="仿宋" w:cs="Calibri"/>
          <w:b/>
          <w:color w:val="000000"/>
          <w:kern w:val="2"/>
          <w:sz w:val="30"/>
          <w:szCs w:val="30"/>
          <w:u w:color="000000"/>
          <w:lang w:eastAsia="zh-CN"/>
        </w:rPr>
        <w:t>3</w:t>
      </w:r>
      <w:r>
        <w:rPr>
          <w:rFonts w:ascii="仿宋" w:hAnsi="仿宋" w:eastAsia="仿宋" w:cs="Calibri"/>
          <w:b/>
          <w:color w:val="000000"/>
          <w:kern w:val="2"/>
          <w:sz w:val="30"/>
          <w:szCs w:val="30"/>
          <w:u w:color="000000"/>
          <w:lang w:eastAsia="zh-CN"/>
        </w:rPr>
        <w:t>000字。</w:t>
      </w:r>
    </w:p>
    <w:p>
      <w:pPr>
        <w:spacing w:line="360" w:lineRule="auto"/>
        <w:ind w:firstLine="600" w:firstLineChars="200"/>
        <w:rPr>
          <w:rFonts w:ascii="仿宋" w:hAnsi="仿宋" w:eastAsia="仿宋" w:cs="Calibri"/>
          <w:color w:val="000000"/>
          <w:kern w:val="2"/>
          <w:sz w:val="30"/>
          <w:szCs w:val="30"/>
          <w:u w:color="000000"/>
          <w:lang w:eastAsia="zh-CN"/>
        </w:rPr>
      </w:pPr>
      <w:r>
        <w:rPr>
          <w:rFonts w:hint="eastAsia" w:ascii="仿宋" w:hAnsi="仿宋" w:eastAsia="仿宋" w:cs="Calibri"/>
          <w:color w:val="000000"/>
          <w:kern w:val="2"/>
          <w:sz w:val="30"/>
          <w:szCs w:val="30"/>
          <w:u w:color="000000"/>
          <w:lang w:eastAsia="zh-CN"/>
        </w:rPr>
        <w:t>（1）前言部分简要说明社会实践的目的、时间、地点、调研方法以及基本内容等。</w:t>
      </w:r>
    </w:p>
    <w:p>
      <w:pPr>
        <w:spacing w:line="360" w:lineRule="auto"/>
        <w:ind w:firstLine="600" w:firstLineChars="200"/>
        <w:rPr>
          <w:rFonts w:ascii="仿宋" w:hAnsi="仿宋" w:eastAsia="仿宋" w:cs="Calibri"/>
          <w:color w:val="000000"/>
          <w:kern w:val="2"/>
          <w:sz w:val="30"/>
          <w:szCs w:val="30"/>
          <w:u w:color="000000"/>
          <w:lang w:eastAsia="zh-CN"/>
        </w:rPr>
      </w:pPr>
      <w:r>
        <w:rPr>
          <w:rFonts w:hint="eastAsia" w:ascii="仿宋" w:hAnsi="仿宋" w:eastAsia="仿宋" w:cs="Calibri"/>
          <w:color w:val="000000"/>
          <w:kern w:val="2"/>
          <w:sz w:val="30"/>
          <w:szCs w:val="30"/>
          <w:u w:color="000000"/>
          <w:lang w:eastAsia="zh-CN"/>
        </w:rPr>
        <w:t>（2）正文部分是报告的主体，基本要求是：观点明确，论据充分，结构严谨，层次明晰，逻辑清楚，文字表达流畅。</w:t>
      </w:r>
    </w:p>
    <w:p>
      <w:pPr>
        <w:pStyle w:val="8"/>
        <w:spacing w:line="360" w:lineRule="auto"/>
        <w:ind w:firstLine="600" w:firstLineChars="200"/>
        <w:rPr>
          <w:rFonts w:ascii="仿宋" w:hAnsi="仿宋" w:eastAsia="仿宋"/>
          <w:sz w:val="30"/>
          <w:szCs w:val="30"/>
        </w:rPr>
      </w:pPr>
      <w:r>
        <w:rPr>
          <w:rFonts w:hint="eastAsia" w:ascii="仿宋" w:hAnsi="仿宋" w:eastAsia="仿宋"/>
          <w:sz w:val="30"/>
          <w:szCs w:val="30"/>
        </w:rPr>
        <w:t>（3）结尾部分是对整个社会实践的总结，包括调研结论、经验总结或政策建议。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EC59CC"/>
    <w:multiLevelType w:val="multilevel"/>
    <w:tmpl w:val="74EC59CC"/>
    <w:lvl w:ilvl="0" w:tentative="0">
      <w:start w:val="1"/>
      <w:numFmt w:val="japaneseCounting"/>
      <w:lvlText w:val="（%1）"/>
      <w:lvlJc w:val="left"/>
      <w:pPr>
        <w:ind w:left="1237" w:hanging="765"/>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iYjcxNmEwNTYyMzQ0YmU5ZDVmN2NkNjJhODJlYWYifQ=="/>
  </w:docVars>
  <w:rsids>
    <w:rsidRoot w:val="00413104"/>
    <w:rsid w:val="001915A0"/>
    <w:rsid w:val="002020E4"/>
    <w:rsid w:val="0022492E"/>
    <w:rsid w:val="00331075"/>
    <w:rsid w:val="003A5856"/>
    <w:rsid w:val="003B2E8D"/>
    <w:rsid w:val="003C3707"/>
    <w:rsid w:val="00413104"/>
    <w:rsid w:val="005A75E9"/>
    <w:rsid w:val="006E1FBE"/>
    <w:rsid w:val="00841A85"/>
    <w:rsid w:val="008534D2"/>
    <w:rsid w:val="008D5CFB"/>
    <w:rsid w:val="009104C2"/>
    <w:rsid w:val="00981422"/>
    <w:rsid w:val="009A226E"/>
    <w:rsid w:val="00A142EF"/>
    <w:rsid w:val="00CD16C2"/>
    <w:rsid w:val="00DC483A"/>
    <w:rsid w:val="00F55A36"/>
    <w:rsid w:val="0DC73EF1"/>
    <w:rsid w:val="0F827BE2"/>
    <w:rsid w:val="13FF5CA5"/>
    <w:rsid w:val="199C6504"/>
    <w:rsid w:val="20E26929"/>
    <w:rsid w:val="22AE209F"/>
    <w:rsid w:val="25A345BA"/>
    <w:rsid w:val="2BDB0090"/>
    <w:rsid w:val="2D65264F"/>
    <w:rsid w:val="2FFD15D8"/>
    <w:rsid w:val="41DF5748"/>
    <w:rsid w:val="5C480E38"/>
    <w:rsid w:val="5F6443DB"/>
    <w:rsid w:val="65904DE9"/>
    <w:rsid w:val="66A6332B"/>
    <w:rsid w:val="6AF428B7"/>
    <w:rsid w:val="7ADC4CB2"/>
    <w:rsid w:val="7B355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en-US"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uiPriority w:val="99"/>
  </w:style>
  <w:style w:type="paragraph" w:styleId="3">
    <w:name w:val="footer"/>
    <w:basedOn w:val="1"/>
    <w:link w:val="12"/>
    <w:unhideWhenUsed/>
    <w:qFormat/>
    <w:uiPriority w:val="99"/>
    <w:pPr>
      <w:tabs>
        <w:tab w:val="center" w:pos="4153"/>
        <w:tab w:val="right" w:pos="8306"/>
      </w:tabs>
      <w:snapToGrid w:val="0"/>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rPr>
  </w:style>
  <w:style w:type="paragraph" w:customStyle="1" w:styleId="8">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styleId="9">
    <w:name w:val="List Paragraph"/>
    <w:basedOn w:val="1"/>
    <w:qFormat/>
    <w:uiPriority w:val="34"/>
    <w:pPr>
      <w:ind w:firstLine="420" w:firstLineChars="200"/>
    </w:pPr>
  </w:style>
  <w:style w:type="character" w:customStyle="1" w:styleId="10">
    <w:name w:val="fontstyle01"/>
    <w:basedOn w:val="6"/>
    <w:qFormat/>
    <w:uiPriority w:val="0"/>
    <w:rPr>
      <w:rFonts w:hint="eastAsia" w:ascii="仿宋_GB2312" w:eastAsia="仿宋_GB2312"/>
      <w:color w:val="000000"/>
      <w:sz w:val="32"/>
      <w:szCs w:val="32"/>
    </w:rPr>
  </w:style>
  <w:style w:type="character" w:customStyle="1" w:styleId="11">
    <w:name w:val="页眉 字符"/>
    <w:basedOn w:val="6"/>
    <w:link w:val="4"/>
    <w:qFormat/>
    <w:uiPriority w:val="99"/>
    <w:rPr>
      <w:rFonts w:ascii="Times New Roman" w:hAnsi="Times New Roman" w:cs="Times New Roman"/>
      <w:kern w:val="0"/>
      <w:sz w:val="18"/>
      <w:szCs w:val="18"/>
      <w:lang w:eastAsia="en-US"/>
    </w:rPr>
  </w:style>
  <w:style w:type="character" w:customStyle="1" w:styleId="12">
    <w:name w:val="页脚 字符"/>
    <w:basedOn w:val="6"/>
    <w:link w:val="3"/>
    <w:autoRedefine/>
    <w:qFormat/>
    <w:uiPriority w:val="99"/>
    <w:rPr>
      <w:rFonts w:ascii="Times New Roman" w:hAnsi="Times New Roman" w:cs="Times New Roman"/>
      <w:kern w:val="0"/>
      <w:sz w:val="18"/>
      <w:szCs w:val="18"/>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1109</Words>
  <Characters>1118</Characters>
  <Lines>31</Lines>
  <Paragraphs>8</Paragraphs>
  <TotalTime>1</TotalTime>
  <ScaleCrop>false</ScaleCrop>
  <LinksUpToDate>false</LinksUpToDate>
  <CharactersWithSpaces>1120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2020-06-24T11:13:00Z</dcterms:created>
  <dc:creator>YLMF</dc:creator>
  <cp:lastModifiedBy>灰翼堕天使</cp:lastModifiedBy>
  <dcterms:modified xsi:type="dcterms:W3CDTF">2024-06-06T02:29:48Z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D0334E3A47AA4670BDF0A9808F36E61C_13</vt:lpwstr>
  </property>
</Properties>
</file>